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F2900" w14:textId="668E20BB" w:rsidR="00E360D3" w:rsidRDefault="005E0831">
      <w:r>
        <w:t>Beet harvest check list-</w:t>
      </w:r>
    </w:p>
    <w:p w14:paraId="758A84F1" w14:textId="5E1AF7AD" w:rsidR="005E0831" w:rsidRDefault="005E0831"/>
    <w:p w14:paraId="4B9C97DD" w14:textId="1520ACCB" w:rsidR="005E0831" w:rsidRDefault="005E0831">
      <w:r>
        <w:t xml:space="preserve">State Permit- </w:t>
      </w:r>
      <w:hyperlink r:id="rId5" w:history="1">
        <w:r w:rsidRPr="00DD7025">
          <w:rPr>
            <w:rStyle w:val="Hyperlink"/>
          </w:rPr>
          <w:t>https://mn.got</w:t>
        </w:r>
        <w:r w:rsidRPr="00DD7025">
          <w:rPr>
            <w:rStyle w:val="Hyperlink"/>
          </w:rPr>
          <w:t>p</w:t>
        </w:r>
        <w:r w:rsidRPr="00DD7025">
          <w:rPr>
            <w:rStyle w:val="Hyperlink"/>
          </w:rPr>
          <w:t>ermits.com</w:t>
        </w:r>
      </w:hyperlink>
      <w:r>
        <w:t xml:space="preserve"> </w:t>
      </w:r>
    </w:p>
    <w:p w14:paraId="21919202" w14:textId="77777777" w:rsidR="008C24AD" w:rsidRDefault="008C24AD"/>
    <w:p w14:paraId="433E405D" w14:textId="219E5221" w:rsidR="005E0831" w:rsidRDefault="008C24AD">
      <w:r>
        <w:t>Home page of Minnesota SUPERLOADS-</w:t>
      </w:r>
    </w:p>
    <w:p w14:paraId="3C361F09" w14:textId="77777777" w:rsidR="005E0831" w:rsidRDefault="005E0831">
      <w:pPr>
        <w:rPr>
          <w:noProof/>
        </w:rPr>
      </w:pPr>
    </w:p>
    <w:p w14:paraId="702381CB" w14:textId="43CB6E68" w:rsidR="005E0831" w:rsidRDefault="008C24AD">
      <w:r>
        <w:rPr>
          <w:noProof/>
        </w:rPr>
        <mc:AlternateContent>
          <mc:Choice Requires="wpi">
            <w:drawing>
              <wp:anchor distT="0" distB="0" distL="114300" distR="114300" simplePos="0" relativeHeight="251662336" behindDoc="0" locked="0" layoutInCell="1" allowOverlap="1" wp14:anchorId="6E576CD0" wp14:editId="23CED5B7">
                <wp:simplePos x="0" y="0"/>
                <wp:positionH relativeFrom="column">
                  <wp:posOffset>4152840</wp:posOffset>
                </wp:positionH>
                <wp:positionV relativeFrom="paragraph">
                  <wp:posOffset>1980575</wp:posOffset>
                </wp:positionV>
                <wp:extent cx="915480" cy="56160"/>
                <wp:effectExtent l="76200" t="133350" r="18415" b="172720"/>
                <wp:wrapNone/>
                <wp:docPr id="7" name="Ink 7"/>
                <wp:cNvGraphicFramePr/>
                <a:graphic xmlns:a="http://schemas.openxmlformats.org/drawingml/2006/main">
                  <a:graphicData uri="http://schemas.microsoft.com/office/word/2010/wordprocessingInk">
                    <w14:contentPart bwMode="auto" r:id="rId6">
                      <w14:nvContentPartPr>
                        <w14:cNvContentPartPr/>
                      </w14:nvContentPartPr>
                      <w14:xfrm>
                        <a:off x="0" y="0"/>
                        <a:ext cx="915480" cy="56160"/>
                      </w14:xfrm>
                    </w14:contentPart>
                  </a:graphicData>
                </a:graphic>
              </wp:anchor>
            </w:drawing>
          </mc:Choice>
          <mc:Fallback>
            <w:pict>
              <v:shapetype w14:anchorId="117BFB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322.75pt;margin-top:147.45pt;width:80.6pt;height:21.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">
                <v:imagedata r:id="rId7" o:title=""/>
              </v:shape>
            </w:pict>
          </mc:Fallback>
        </mc:AlternateContent>
      </w:r>
      <w:r w:rsidR="005E0831">
        <w:rPr>
          <w:noProof/>
        </w:rPr>
        <w:drawing>
          <wp:inline distT="0" distB="0" distL="0" distR="0" wp14:anchorId="06AEBF82" wp14:editId="5CE9910E">
            <wp:extent cx="5943600" cy="247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77770"/>
                    </a:xfrm>
                    <a:prstGeom prst="rect">
                      <a:avLst/>
                    </a:prstGeom>
                  </pic:spPr>
                </pic:pic>
              </a:graphicData>
            </a:graphic>
          </wp:inline>
        </w:drawing>
      </w:r>
    </w:p>
    <w:p w14:paraId="23CC28CD" w14:textId="1615468C" w:rsidR="005E0831" w:rsidRDefault="005E0831"/>
    <w:p w14:paraId="0016D216" w14:textId="365C7C7E" w:rsidR="008C24AD" w:rsidRDefault="008C24AD">
      <w:r>
        <w:t>On home page above under Reference Material left side bottom marked in yellow is video tutorials which will bring you to this page allowing you to learn how to set up new account or order a permit.</w:t>
      </w:r>
    </w:p>
    <w:p w14:paraId="6747A314" w14:textId="77777777" w:rsidR="008C24AD" w:rsidRDefault="008C24AD"/>
    <w:p w14:paraId="636590FE" w14:textId="65AEAFE9" w:rsidR="008C24AD" w:rsidRDefault="008C24AD">
      <w:r>
        <w:rPr>
          <w:noProof/>
        </w:rPr>
        <w:drawing>
          <wp:inline distT="0" distB="0" distL="0" distR="0" wp14:anchorId="799F67AA" wp14:editId="49630A49">
            <wp:extent cx="5943600" cy="288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84805"/>
                    </a:xfrm>
                    <a:prstGeom prst="rect">
                      <a:avLst/>
                    </a:prstGeom>
                  </pic:spPr>
                </pic:pic>
              </a:graphicData>
            </a:graphic>
          </wp:inline>
        </w:drawing>
      </w:r>
    </w:p>
    <w:p w14:paraId="06C69DBF" w14:textId="77777777" w:rsidR="008C24AD" w:rsidRDefault="008C24AD"/>
    <w:p w14:paraId="32CF581B" w14:textId="77777777" w:rsidR="008C24AD" w:rsidRDefault="008C24AD"/>
    <w:p w14:paraId="0EFD49AB" w14:textId="77777777" w:rsidR="008C24AD" w:rsidRDefault="008C24AD"/>
    <w:p w14:paraId="61CF26A4" w14:textId="77777777" w:rsidR="008C24AD" w:rsidRDefault="008C24AD"/>
    <w:p w14:paraId="1F05B676" w14:textId="77777777" w:rsidR="008C24AD" w:rsidRDefault="008C24AD"/>
    <w:p w14:paraId="527626E6" w14:textId="6E61679C" w:rsidR="008C24AD" w:rsidRDefault="008C24AD"/>
    <w:p w14:paraId="532742BE" w14:textId="77777777" w:rsidR="008C24AD" w:rsidRDefault="008C24AD"/>
    <w:p w14:paraId="49401D29" w14:textId="19BF18CD" w:rsidR="005E0831" w:rsidRDefault="005E0831">
      <w:r>
        <w:t>Types of Permits</w:t>
      </w:r>
    </w:p>
    <w:p w14:paraId="05C893D2" w14:textId="7ADB98D5" w:rsidR="005E0831" w:rsidRDefault="005E0831"/>
    <w:p w14:paraId="55831066" w14:textId="48E8C799" w:rsidR="005E0831" w:rsidRDefault="005E0831">
      <w:r>
        <w:rPr>
          <w:noProof/>
        </w:rPr>
        <w:drawing>
          <wp:inline distT="0" distB="0" distL="0" distR="0" wp14:anchorId="6AD876F8" wp14:editId="0D993090">
            <wp:extent cx="5943600" cy="1572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72895"/>
                    </a:xfrm>
                    <a:prstGeom prst="rect">
                      <a:avLst/>
                    </a:prstGeom>
                  </pic:spPr>
                </pic:pic>
              </a:graphicData>
            </a:graphic>
          </wp:inline>
        </w:drawing>
      </w:r>
    </w:p>
    <w:p w14:paraId="253E16C5" w14:textId="7B233579" w:rsidR="005E0831" w:rsidRDefault="005E0831">
      <w:r>
        <w:t xml:space="preserve">Harvest Seasonal Permit allows 10% </w:t>
      </w:r>
      <w:r w:rsidR="006E13E6">
        <w:t>above legal weights</w:t>
      </w:r>
    </w:p>
    <w:p w14:paraId="10C74A36" w14:textId="4876B8C8" w:rsidR="006E13E6" w:rsidRDefault="006E13E6"/>
    <w:p w14:paraId="01AC7CE4" w14:textId="77777777" w:rsidR="006E13E6" w:rsidRDefault="006E13E6" w:rsidP="006E13E6">
      <w:pPr>
        <w:pStyle w:val="Heading2"/>
        <w:shd w:val="clear" w:color="auto" w:fill="FFFFFF"/>
        <w:spacing w:before="0" w:beforeAutospacing="0" w:after="0" w:afterAutospacing="0" w:line="240" w:lineRule="atLeast"/>
        <w:ind w:left="480"/>
        <w:rPr>
          <w:b w:val="0"/>
          <w:bCs w:val="0"/>
          <w:color w:val="000000"/>
          <w:sz w:val="24"/>
          <w:szCs w:val="24"/>
        </w:rPr>
      </w:pPr>
      <w:proofErr w:type="spellStart"/>
      <w:r>
        <w:rPr>
          <w:b w:val="0"/>
          <w:bCs w:val="0"/>
          <w:color w:val="000000"/>
          <w:sz w:val="24"/>
          <w:szCs w:val="24"/>
        </w:rPr>
        <w:t>Subd</w:t>
      </w:r>
      <w:proofErr w:type="spellEnd"/>
      <w:r>
        <w:rPr>
          <w:b w:val="0"/>
          <w:bCs w:val="0"/>
          <w:color w:val="000000"/>
          <w:sz w:val="24"/>
          <w:szCs w:val="24"/>
        </w:rPr>
        <w:t>. 1</w:t>
      </w:r>
      <w:proofErr w:type="gramStart"/>
      <w:r>
        <w:rPr>
          <w:b w:val="0"/>
          <w:bCs w:val="0"/>
          <w:color w:val="000000"/>
          <w:sz w:val="24"/>
          <w:szCs w:val="24"/>
        </w:rPr>
        <w:t>a.</w:t>
      </w:r>
      <w:r>
        <w:rPr>
          <w:rStyle w:val="headnote"/>
          <w:color w:val="000000"/>
          <w:sz w:val="24"/>
          <w:szCs w:val="24"/>
        </w:rPr>
        <w:t>Harvest</w:t>
      </w:r>
      <w:proofErr w:type="gramEnd"/>
      <w:r>
        <w:rPr>
          <w:rStyle w:val="headnote"/>
          <w:color w:val="000000"/>
          <w:sz w:val="24"/>
          <w:szCs w:val="24"/>
        </w:rPr>
        <w:t xml:space="preserve"> season increase amount; permit.</w:t>
      </w:r>
    </w:p>
    <w:p w14:paraId="513FF398" w14:textId="77777777" w:rsidR="006E13E6" w:rsidRDefault="006E13E6" w:rsidP="006E13E6">
      <w:pPr>
        <w:rPr>
          <w:sz w:val="24"/>
          <w:szCs w:val="24"/>
        </w:rPr>
      </w:pPr>
      <w:r>
        <w:rPr>
          <w:color w:val="000000"/>
          <w:sz w:val="25"/>
          <w:szCs w:val="25"/>
          <w:shd w:val="clear" w:color="auto" w:fill="FFFFFF"/>
        </w:rPr>
        <w:t> </w:t>
      </w:r>
    </w:p>
    <w:p w14:paraId="1D70F3FA" w14:textId="77777777" w:rsidR="006E13E6" w:rsidRDefault="006E13E6" w:rsidP="006E13E6">
      <w:pPr>
        <w:pStyle w:val="in"/>
        <w:shd w:val="clear" w:color="auto" w:fill="FFFFFF"/>
        <w:spacing w:before="48" w:beforeAutospacing="0" w:after="120" w:afterAutospacing="0"/>
        <w:ind w:firstLine="480"/>
        <w:rPr>
          <w:color w:val="000000"/>
          <w:sz w:val="25"/>
          <w:szCs w:val="25"/>
        </w:rPr>
      </w:pPr>
      <w:r>
        <w:rPr>
          <w:color w:val="000000"/>
          <w:sz w:val="25"/>
          <w:szCs w:val="25"/>
        </w:rPr>
        <w:t>The limitations provided in sections </w:t>
      </w:r>
      <w:hyperlink r:id="rId11" w:history="1">
        <w:r>
          <w:rPr>
            <w:rStyle w:val="Hyperlink"/>
            <w:color w:val="2B6DAD"/>
            <w:sz w:val="25"/>
            <w:szCs w:val="25"/>
          </w:rPr>
          <w:t>169.823</w:t>
        </w:r>
      </w:hyperlink>
      <w:r>
        <w:rPr>
          <w:color w:val="000000"/>
          <w:sz w:val="25"/>
          <w:szCs w:val="25"/>
        </w:rPr>
        <w:t> to </w:t>
      </w:r>
      <w:hyperlink r:id="rId12" w:history="1">
        <w:r>
          <w:rPr>
            <w:rStyle w:val="Hyperlink"/>
            <w:color w:val="2B6DAD"/>
            <w:sz w:val="25"/>
            <w:szCs w:val="25"/>
          </w:rPr>
          <w:t>169.829</w:t>
        </w:r>
      </w:hyperlink>
      <w:r>
        <w:rPr>
          <w:color w:val="000000"/>
          <w:sz w:val="25"/>
          <w:szCs w:val="25"/>
        </w:rPr>
        <w:t xml:space="preserve"> are increased by ten percent from the beginning of harvest to November 30 each year for the movement of </w:t>
      </w:r>
      <w:r w:rsidRPr="006E13E6">
        <w:rPr>
          <w:color w:val="000000"/>
          <w:sz w:val="25"/>
          <w:szCs w:val="25"/>
          <w:highlight w:val="yellow"/>
        </w:rPr>
        <w:t>sugar beets, carrots, and potatoes from the field of harvest to the point of the first unloading</w:t>
      </w:r>
      <w:r>
        <w:rPr>
          <w:color w:val="000000"/>
          <w:sz w:val="25"/>
          <w:szCs w:val="25"/>
        </w:rPr>
        <w:t>. Transfer of the product from a farm vehicle or small farm trailer, within the meaning of chapter 168, to another vehicle is not considered to be the first unloading. A permit issued under section </w:t>
      </w:r>
      <w:hyperlink r:id="rId13" w:anchor="stat.169.86.1" w:history="1">
        <w:r>
          <w:rPr>
            <w:rStyle w:val="Hyperlink"/>
            <w:color w:val="2B6DAD"/>
            <w:sz w:val="25"/>
            <w:szCs w:val="25"/>
          </w:rPr>
          <w:t>169.86, subdivision 1</w:t>
        </w:r>
      </w:hyperlink>
      <w:r>
        <w:rPr>
          <w:color w:val="000000"/>
          <w:sz w:val="25"/>
          <w:szCs w:val="25"/>
        </w:rPr>
        <w:t>, paragraph (a), is required. The commissioner shall not issue permits under this subdivision if to do so will result in a loss of federal highway funding to the state.</w:t>
      </w:r>
    </w:p>
    <w:p w14:paraId="0D9BAF38" w14:textId="77777777" w:rsidR="006E13E6" w:rsidRDefault="006E13E6"/>
    <w:p w14:paraId="517E8B21" w14:textId="77777777" w:rsidR="006E13E6" w:rsidRDefault="005E0831" w:rsidP="006E13E6">
      <w:pPr>
        <w:rPr>
          <w:rFonts w:ascii="Roboto" w:hAnsi="Roboto"/>
          <w:color w:val="856404"/>
          <w:sz w:val="21"/>
          <w:szCs w:val="21"/>
        </w:rPr>
      </w:pPr>
      <w:r>
        <w:rPr>
          <w:noProof/>
        </w:rPr>
        <w:drawing>
          <wp:inline distT="0" distB="0" distL="0" distR="0" wp14:anchorId="0B79A78C" wp14:editId="38684C4F">
            <wp:extent cx="5943600" cy="28181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18130"/>
                    </a:xfrm>
                    <a:prstGeom prst="rect">
                      <a:avLst/>
                    </a:prstGeom>
                  </pic:spPr>
                </pic:pic>
              </a:graphicData>
            </a:graphic>
          </wp:inline>
        </w:drawing>
      </w:r>
    </w:p>
    <w:p w14:paraId="67410FF2" w14:textId="1088219F" w:rsidR="006E13E6" w:rsidRPr="006E13E6" w:rsidRDefault="006E13E6" w:rsidP="006E13E6">
      <w:r>
        <w:rPr>
          <w:rFonts w:ascii="Roboto" w:hAnsi="Roboto"/>
          <w:color w:val="856404"/>
          <w:sz w:val="21"/>
          <w:szCs w:val="21"/>
        </w:rPr>
        <w:t xml:space="preserve"> </w:t>
      </w:r>
    </w:p>
    <w:p w14:paraId="460DB47E" w14:textId="77777777" w:rsidR="006E13E6" w:rsidRDefault="006E13E6" w:rsidP="006E13E6">
      <w:pPr>
        <w:pStyle w:val="Heading1"/>
        <w:shd w:val="clear" w:color="auto" w:fill="FFFFFF"/>
        <w:spacing w:before="0" w:line="240" w:lineRule="atLeast"/>
        <w:rPr>
          <w:rFonts w:ascii="Times New Roman" w:hAnsi="Times New Roman"/>
          <w:color w:val="000000"/>
          <w:sz w:val="29"/>
          <w:szCs w:val="29"/>
        </w:rPr>
      </w:pPr>
      <w:r>
        <w:rPr>
          <w:color w:val="000000"/>
          <w:sz w:val="29"/>
          <w:szCs w:val="29"/>
        </w:rPr>
        <w:t>169.865 SPECIAL FARM PRODUCTS PERMITS.</w:t>
      </w:r>
    </w:p>
    <w:p w14:paraId="4DCC4817" w14:textId="174C012B" w:rsidR="006E13E6" w:rsidRPr="006E13E6" w:rsidRDefault="006E13E6" w:rsidP="006E13E6">
      <w:pPr>
        <w:pStyle w:val="Heading2"/>
        <w:shd w:val="clear" w:color="auto" w:fill="FFFFFF"/>
        <w:spacing w:before="0" w:beforeAutospacing="0" w:after="0" w:afterAutospacing="0" w:line="240" w:lineRule="atLeast"/>
        <w:ind w:left="480"/>
        <w:rPr>
          <w:rFonts w:ascii="inherit" w:hAnsi="inherit"/>
          <w:b w:val="0"/>
          <w:bCs w:val="0"/>
          <w:color w:val="000000"/>
          <w:sz w:val="29"/>
          <w:szCs w:val="29"/>
        </w:rPr>
      </w:pPr>
      <w:r>
        <w:rPr>
          <w:rFonts w:ascii="inherit" w:hAnsi="inherit"/>
          <w:b w:val="0"/>
          <w:bCs w:val="0"/>
          <w:color w:val="000000"/>
          <w:sz w:val="29"/>
          <w:szCs w:val="29"/>
        </w:rPr>
        <w:t>Subdivision 1.</w:t>
      </w:r>
    </w:p>
    <w:p w14:paraId="30F66E47" w14:textId="77777777" w:rsidR="006E13E6" w:rsidRDefault="006E13E6" w:rsidP="006E13E6">
      <w:pPr>
        <w:shd w:val="clear" w:color="auto" w:fill="FFFFFF"/>
        <w:spacing w:line="288" w:lineRule="atLeast"/>
        <w:rPr>
          <w:color w:val="000000"/>
          <w:sz w:val="29"/>
          <w:szCs w:val="29"/>
        </w:rPr>
      </w:pPr>
      <w:hyperlink r:id="rId15" w:anchor="stat.169.865.1a" w:tooltip="Link to Subd. 1a." w:history="1">
        <w:r>
          <w:rPr>
            <w:rStyle w:val="Hyperlink"/>
            <w:b/>
            <w:bCs/>
            <w:color w:val="AAAAAA"/>
            <w:sz w:val="29"/>
            <w:szCs w:val="29"/>
          </w:rPr>
          <w:t>§</w:t>
        </w:r>
      </w:hyperlink>
    </w:p>
    <w:p w14:paraId="78F15E0D" w14:textId="77777777" w:rsidR="006E13E6" w:rsidRDefault="006E13E6" w:rsidP="006E13E6">
      <w:pPr>
        <w:pStyle w:val="Heading2"/>
        <w:shd w:val="clear" w:color="auto" w:fill="FFFFFF"/>
        <w:spacing w:before="0" w:beforeAutospacing="0" w:after="0" w:afterAutospacing="0" w:line="240" w:lineRule="atLeast"/>
        <w:ind w:left="480"/>
        <w:rPr>
          <w:rFonts w:ascii="inherit" w:hAnsi="inherit"/>
          <w:b w:val="0"/>
          <w:bCs w:val="0"/>
          <w:color w:val="000000"/>
          <w:sz w:val="29"/>
          <w:szCs w:val="29"/>
        </w:rPr>
      </w:pPr>
      <w:proofErr w:type="spellStart"/>
      <w:r>
        <w:rPr>
          <w:rFonts w:ascii="inherit" w:hAnsi="inherit"/>
          <w:b w:val="0"/>
          <w:bCs w:val="0"/>
          <w:color w:val="000000"/>
          <w:sz w:val="29"/>
          <w:szCs w:val="29"/>
        </w:rPr>
        <w:lastRenderedPageBreak/>
        <w:t>Subd</w:t>
      </w:r>
      <w:proofErr w:type="spellEnd"/>
      <w:r>
        <w:rPr>
          <w:rFonts w:ascii="inherit" w:hAnsi="inherit"/>
          <w:b w:val="0"/>
          <w:bCs w:val="0"/>
          <w:color w:val="000000"/>
          <w:sz w:val="29"/>
          <w:szCs w:val="29"/>
        </w:rPr>
        <w:t>. 1</w:t>
      </w:r>
      <w:proofErr w:type="gramStart"/>
      <w:r>
        <w:rPr>
          <w:rFonts w:ascii="inherit" w:hAnsi="inherit"/>
          <w:b w:val="0"/>
          <w:bCs w:val="0"/>
          <w:color w:val="000000"/>
          <w:sz w:val="29"/>
          <w:szCs w:val="29"/>
        </w:rPr>
        <w:t>a.</w:t>
      </w:r>
      <w:r>
        <w:rPr>
          <w:rStyle w:val="headnote"/>
          <w:rFonts w:ascii="inherit" w:eastAsiaTheme="majorEastAsia" w:hAnsi="inherit"/>
          <w:color w:val="000000"/>
          <w:sz w:val="29"/>
          <w:szCs w:val="29"/>
        </w:rPr>
        <w:t>Definition</w:t>
      </w:r>
      <w:proofErr w:type="gramEnd"/>
      <w:r>
        <w:rPr>
          <w:rStyle w:val="headnote"/>
          <w:rFonts w:ascii="inherit" w:eastAsiaTheme="majorEastAsia" w:hAnsi="inherit"/>
          <w:color w:val="000000"/>
          <w:sz w:val="29"/>
          <w:szCs w:val="29"/>
        </w:rPr>
        <w:t>.</w:t>
      </w:r>
    </w:p>
    <w:p w14:paraId="5EB204C5" w14:textId="77777777" w:rsidR="006E13E6" w:rsidRDefault="006E13E6" w:rsidP="006E13E6">
      <w:pPr>
        <w:shd w:val="clear" w:color="auto" w:fill="FFFFFF"/>
        <w:spacing w:line="288" w:lineRule="atLeast"/>
        <w:rPr>
          <w:rFonts w:ascii="Times New Roman" w:hAnsi="Times New Roman"/>
          <w:color w:val="000000"/>
          <w:sz w:val="29"/>
          <w:szCs w:val="29"/>
        </w:rPr>
      </w:pPr>
      <w:r>
        <w:rPr>
          <w:color w:val="000000"/>
          <w:sz w:val="29"/>
          <w:szCs w:val="29"/>
        </w:rPr>
        <w:t> </w:t>
      </w:r>
    </w:p>
    <w:p w14:paraId="6E6DD0B5"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For purposes of this section, "qualifying agricultural products" means:</w:t>
      </w:r>
    </w:p>
    <w:p w14:paraId="05EC931D"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(1) agricultural crops, including but not limited to corn, soybeans, oats, grain, and by-products of agricultural crops;</w:t>
      </w:r>
    </w:p>
    <w:p w14:paraId="5FD46D9D"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(2) livestock, including but not limited to cattle, hogs, and poultry;</w:t>
      </w:r>
    </w:p>
    <w:p w14:paraId="737E1512"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(3) food crops, including but not limited to sugar beets, potatoes, carrots, and onions;</w:t>
      </w:r>
    </w:p>
    <w:p w14:paraId="46FB491A"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(4) fluid milk;</w:t>
      </w:r>
    </w:p>
    <w:p w14:paraId="31304423"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(5) seed and material used for or in livestock and poultry feed;</w:t>
      </w:r>
    </w:p>
    <w:p w14:paraId="23B2B674"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(6) livestock manure; and</w:t>
      </w:r>
    </w:p>
    <w:p w14:paraId="1A0E3B69" w14:textId="77777777"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t>(7) raw or processed grass seed.</w:t>
      </w:r>
    </w:p>
    <w:p w14:paraId="2F09F89F" w14:textId="77777777" w:rsidR="006E13E6" w:rsidRDefault="006E13E6" w:rsidP="006E13E6">
      <w:pPr>
        <w:pStyle w:val="Heading2"/>
        <w:shd w:val="clear" w:color="auto" w:fill="FFFFFF"/>
        <w:spacing w:before="0" w:beforeAutospacing="0" w:after="0" w:afterAutospacing="0" w:line="240" w:lineRule="atLeast"/>
        <w:ind w:left="480"/>
        <w:rPr>
          <w:rFonts w:ascii="inherit" w:hAnsi="inherit"/>
          <w:b w:val="0"/>
          <w:bCs w:val="0"/>
          <w:color w:val="000000"/>
          <w:sz w:val="29"/>
          <w:szCs w:val="29"/>
        </w:rPr>
      </w:pPr>
      <w:proofErr w:type="spellStart"/>
      <w:r>
        <w:rPr>
          <w:rFonts w:ascii="inherit" w:hAnsi="inherit"/>
          <w:b w:val="0"/>
          <w:bCs w:val="0"/>
          <w:color w:val="000000"/>
          <w:sz w:val="29"/>
          <w:szCs w:val="29"/>
        </w:rPr>
        <w:t>Subd</w:t>
      </w:r>
      <w:proofErr w:type="spellEnd"/>
      <w:r>
        <w:rPr>
          <w:rFonts w:ascii="inherit" w:hAnsi="inherit"/>
          <w:b w:val="0"/>
          <w:bCs w:val="0"/>
          <w:color w:val="000000"/>
          <w:sz w:val="29"/>
          <w:szCs w:val="29"/>
        </w:rPr>
        <w:t>. 1</w:t>
      </w:r>
      <w:proofErr w:type="gramStart"/>
      <w:r>
        <w:rPr>
          <w:rFonts w:ascii="inherit" w:hAnsi="inherit"/>
          <w:b w:val="0"/>
          <w:bCs w:val="0"/>
          <w:color w:val="000000"/>
          <w:sz w:val="29"/>
          <w:szCs w:val="29"/>
        </w:rPr>
        <w:t>b.</w:t>
      </w:r>
      <w:r>
        <w:rPr>
          <w:rStyle w:val="headnote"/>
          <w:rFonts w:ascii="inherit" w:eastAsiaTheme="majorEastAsia" w:hAnsi="inherit"/>
          <w:color w:val="000000"/>
          <w:sz w:val="29"/>
          <w:szCs w:val="29"/>
        </w:rPr>
        <w:t>Six</w:t>
      </w:r>
      <w:proofErr w:type="gramEnd"/>
      <w:r>
        <w:rPr>
          <w:rStyle w:val="headnote"/>
          <w:rFonts w:ascii="inherit" w:eastAsiaTheme="majorEastAsia" w:hAnsi="inherit"/>
          <w:color w:val="000000"/>
          <w:sz w:val="29"/>
          <w:szCs w:val="29"/>
        </w:rPr>
        <w:t>-axle vehicles.</w:t>
      </w:r>
    </w:p>
    <w:p w14:paraId="2C93BE8F" w14:textId="77777777" w:rsidR="006E13E6" w:rsidRDefault="006E13E6" w:rsidP="006E13E6">
      <w:pPr>
        <w:shd w:val="clear" w:color="auto" w:fill="FFFFFF"/>
        <w:spacing w:line="288" w:lineRule="atLeast"/>
        <w:rPr>
          <w:rFonts w:ascii="Times New Roman" w:hAnsi="Times New Roman"/>
          <w:color w:val="000000"/>
          <w:sz w:val="29"/>
          <w:szCs w:val="29"/>
        </w:rPr>
      </w:pPr>
      <w:r>
        <w:rPr>
          <w:color w:val="000000"/>
          <w:sz w:val="29"/>
          <w:szCs w:val="29"/>
        </w:rPr>
        <w:t> </w:t>
      </w:r>
    </w:p>
    <w:p w14:paraId="3B0242C6"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(a) A road authority may issue an annual permit authorizing a vehicle or combination of vehicles with a total of six or more axles to haul qualifying agricultural products and be operated with a gross vehicle weight of up to:</w:t>
      </w:r>
    </w:p>
    <w:p w14:paraId="60C88310"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(1) 90,000 pounds; and</w:t>
      </w:r>
    </w:p>
    <w:p w14:paraId="0758F48D"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(2) 99,000 pounds during the period set by the commissioner under section </w:t>
      </w:r>
      <w:hyperlink r:id="rId16" w:anchor="stat.169.826.1" w:history="1">
        <w:r>
          <w:rPr>
            <w:rStyle w:val="Hyperlink"/>
            <w:color w:val="2B6DAD"/>
            <w:sz w:val="29"/>
            <w:szCs w:val="29"/>
          </w:rPr>
          <w:t>169.826, subdivision 1</w:t>
        </w:r>
      </w:hyperlink>
      <w:r>
        <w:rPr>
          <w:color w:val="000000"/>
          <w:sz w:val="29"/>
          <w:szCs w:val="29"/>
        </w:rPr>
        <w:t>.</w:t>
      </w:r>
    </w:p>
    <w:p w14:paraId="7AAA82BC"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(b) Notwithstanding subdivision 3, paragraph (a), clause (4), a vehicle or combination of vehicles operated under this subdivision and transporting only sealed intermodal containers may be operated on an interstate highway if allowed by the United States Department of Transportation.</w:t>
      </w:r>
    </w:p>
    <w:p w14:paraId="7A666B5E"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(c) The fee for a permit issued under this subdivision is $300, or a proportional amount as provided in section </w:t>
      </w:r>
      <w:hyperlink r:id="rId17" w:anchor="stat.169.86.5" w:history="1">
        <w:r>
          <w:rPr>
            <w:rStyle w:val="Hyperlink"/>
            <w:color w:val="2B6DAD"/>
            <w:sz w:val="29"/>
            <w:szCs w:val="29"/>
          </w:rPr>
          <w:t>169.86, subdivision 5</w:t>
        </w:r>
      </w:hyperlink>
      <w:r>
        <w:rPr>
          <w:color w:val="000000"/>
          <w:sz w:val="29"/>
          <w:szCs w:val="29"/>
        </w:rPr>
        <w:t>.</w:t>
      </w:r>
    </w:p>
    <w:p w14:paraId="4631E5C4" w14:textId="77777777" w:rsidR="006E13E6" w:rsidRDefault="006E13E6" w:rsidP="006E13E6">
      <w:pPr>
        <w:pStyle w:val="Heading2"/>
        <w:shd w:val="clear" w:color="auto" w:fill="FFFFFF"/>
        <w:spacing w:before="0" w:beforeAutospacing="0" w:after="0" w:afterAutospacing="0" w:line="240" w:lineRule="atLeast"/>
        <w:ind w:left="480"/>
        <w:rPr>
          <w:rFonts w:ascii="inherit" w:hAnsi="inherit"/>
          <w:b w:val="0"/>
          <w:bCs w:val="0"/>
          <w:color w:val="000000"/>
          <w:sz w:val="29"/>
          <w:szCs w:val="29"/>
        </w:rPr>
      </w:pPr>
      <w:proofErr w:type="spellStart"/>
      <w:r>
        <w:rPr>
          <w:rFonts w:ascii="inherit" w:hAnsi="inherit"/>
          <w:b w:val="0"/>
          <w:bCs w:val="0"/>
          <w:color w:val="000000"/>
          <w:sz w:val="29"/>
          <w:szCs w:val="29"/>
        </w:rPr>
        <w:t>Subd</w:t>
      </w:r>
      <w:proofErr w:type="spellEnd"/>
      <w:r>
        <w:rPr>
          <w:rFonts w:ascii="inherit" w:hAnsi="inherit"/>
          <w:b w:val="0"/>
          <w:bCs w:val="0"/>
          <w:color w:val="000000"/>
          <w:sz w:val="29"/>
          <w:szCs w:val="29"/>
        </w:rPr>
        <w:t>. 2.</w:t>
      </w:r>
      <w:r>
        <w:rPr>
          <w:rStyle w:val="headnote"/>
          <w:rFonts w:ascii="inherit" w:eastAsiaTheme="majorEastAsia" w:hAnsi="inherit"/>
          <w:color w:val="000000"/>
          <w:sz w:val="29"/>
          <w:szCs w:val="29"/>
        </w:rPr>
        <w:t>Seven-axle vehicles.</w:t>
      </w:r>
    </w:p>
    <w:p w14:paraId="03486A59" w14:textId="77777777" w:rsidR="006E13E6" w:rsidRDefault="006E13E6" w:rsidP="006E13E6">
      <w:pPr>
        <w:shd w:val="clear" w:color="auto" w:fill="FFFFFF"/>
        <w:spacing w:line="288" w:lineRule="atLeast"/>
        <w:rPr>
          <w:rFonts w:ascii="Times New Roman" w:hAnsi="Times New Roman"/>
          <w:color w:val="000000"/>
          <w:sz w:val="29"/>
          <w:szCs w:val="29"/>
        </w:rPr>
      </w:pPr>
      <w:r>
        <w:rPr>
          <w:color w:val="000000"/>
          <w:sz w:val="29"/>
          <w:szCs w:val="29"/>
        </w:rPr>
        <w:t> </w:t>
      </w:r>
    </w:p>
    <w:p w14:paraId="0C247927"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(a) A road authority may issue an annual permit authorizing a vehicle or combination of vehicles with a total of seven or more axles to haul qualifying agricultural products and be operated with a gross weight of up to:</w:t>
      </w:r>
    </w:p>
    <w:p w14:paraId="6E489613"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(1) 97,000 pounds; and</w:t>
      </w:r>
    </w:p>
    <w:p w14:paraId="71B23D9E"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lastRenderedPageBreak/>
        <w:t>(2) 99,000 pounds during the period set by the commissioner under section </w:t>
      </w:r>
      <w:hyperlink r:id="rId18" w:anchor="stat.169.826.1" w:history="1">
        <w:r>
          <w:rPr>
            <w:rStyle w:val="Hyperlink"/>
            <w:color w:val="2B6DAD"/>
            <w:sz w:val="29"/>
            <w:szCs w:val="29"/>
          </w:rPr>
          <w:t>169.826, subdivision 1</w:t>
        </w:r>
      </w:hyperlink>
      <w:r>
        <w:rPr>
          <w:color w:val="000000"/>
          <w:sz w:val="29"/>
          <w:szCs w:val="29"/>
        </w:rPr>
        <w:t>.</w:t>
      </w:r>
    </w:p>
    <w:p w14:paraId="5DF2C883"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(b) Drivers of vehicles operating under this subdivision must comply with driver qualification requirements adopted under section </w:t>
      </w:r>
      <w:hyperlink r:id="rId19" w:history="1">
        <w:r>
          <w:rPr>
            <w:rStyle w:val="Hyperlink"/>
            <w:color w:val="2B6DAD"/>
            <w:sz w:val="29"/>
            <w:szCs w:val="29"/>
          </w:rPr>
          <w:t>221.0314, subdivisions 2</w:t>
        </w:r>
      </w:hyperlink>
      <w:r>
        <w:rPr>
          <w:color w:val="000000"/>
          <w:sz w:val="29"/>
          <w:szCs w:val="29"/>
        </w:rPr>
        <w:t> to 5, and Code of Federal Regulations, title 49, parts 40 and 382, unless exempt under section </w:t>
      </w:r>
      <w:hyperlink r:id="rId20" w:history="1">
        <w:r>
          <w:rPr>
            <w:rStyle w:val="Hyperlink"/>
            <w:color w:val="2B6DAD"/>
            <w:sz w:val="29"/>
            <w:szCs w:val="29"/>
          </w:rPr>
          <w:t>221.031</w:t>
        </w:r>
      </w:hyperlink>
      <w:r>
        <w:rPr>
          <w:color w:val="000000"/>
          <w:sz w:val="29"/>
          <w:szCs w:val="29"/>
        </w:rPr>
        <w:t>, subdivision 2c.</w:t>
      </w:r>
    </w:p>
    <w:p w14:paraId="46033C01"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(c) The fee for a permit issued under this subdivision is $500, or a proportional amount as provided in section </w:t>
      </w:r>
      <w:hyperlink r:id="rId21" w:anchor="stat.169.86.5" w:history="1">
        <w:r>
          <w:rPr>
            <w:rStyle w:val="Hyperlink"/>
            <w:color w:val="2B6DAD"/>
            <w:sz w:val="29"/>
            <w:szCs w:val="29"/>
          </w:rPr>
          <w:t>169.86, subdivision 5</w:t>
        </w:r>
      </w:hyperlink>
      <w:r>
        <w:rPr>
          <w:color w:val="000000"/>
          <w:sz w:val="29"/>
          <w:szCs w:val="29"/>
        </w:rPr>
        <w:t>.</w:t>
      </w:r>
    </w:p>
    <w:p w14:paraId="0521DA38" w14:textId="77777777" w:rsidR="006E13E6" w:rsidRDefault="006E13E6" w:rsidP="006E13E6">
      <w:pPr>
        <w:pStyle w:val="Heading2"/>
        <w:shd w:val="clear" w:color="auto" w:fill="FFFFFF"/>
        <w:spacing w:before="0" w:beforeAutospacing="0" w:after="0" w:afterAutospacing="0" w:line="240" w:lineRule="atLeast"/>
        <w:ind w:left="480"/>
        <w:rPr>
          <w:rFonts w:ascii="inherit" w:hAnsi="inherit"/>
          <w:b w:val="0"/>
          <w:bCs w:val="0"/>
          <w:color w:val="000000"/>
          <w:sz w:val="29"/>
          <w:szCs w:val="29"/>
        </w:rPr>
      </w:pPr>
      <w:proofErr w:type="spellStart"/>
      <w:r>
        <w:rPr>
          <w:rFonts w:ascii="inherit" w:hAnsi="inherit"/>
          <w:b w:val="0"/>
          <w:bCs w:val="0"/>
          <w:color w:val="000000"/>
          <w:sz w:val="29"/>
          <w:szCs w:val="29"/>
        </w:rPr>
        <w:t>Subd</w:t>
      </w:r>
      <w:proofErr w:type="spellEnd"/>
      <w:r>
        <w:rPr>
          <w:rFonts w:ascii="inherit" w:hAnsi="inherit"/>
          <w:b w:val="0"/>
          <w:bCs w:val="0"/>
          <w:color w:val="000000"/>
          <w:sz w:val="29"/>
          <w:szCs w:val="29"/>
        </w:rPr>
        <w:t>. 3.</w:t>
      </w:r>
      <w:r>
        <w:rPr>
          <w:rStyle w:val="headnote"/>
          <w:rFonts w:ascii="inherit" w:eastAsiaTheme="majorEastAsia" w:hAnsi="inherit"/>
          <w:color w:val="000000"/>
          <w:sz w:val="29"/>
          <w:szCs w:val="29"/>
        </w:rPr>
        <w:t>Requirements; restrictions.</w:t>
      </w:r>
    </w:p>
    <w:p w14:paraId="7EBD4060" w14:textId="77777777" w:rsidR="006E13E6" w:rsidRDefault="006E13E6" w:rsidP="006E13E6">
      <w:pPr>
        <w:shd w:val="clear" w:color="auto" w:fill="FFFFFF"/>
        <w:spacing w:line="288" w:lineRule="atLeast"/>
        <w:rPr>
          <w:rFonts w:ascii="Times New Roman" w:hAnsi="Times New Roman"/>
          <w:color w:val="000000"/>
          <w:sz w:val="29"/>
          <w:szCs w:val="29"/>
        </w:rPr>
      </w:pPr>
      <w:r>
        <w:rPr>
          <w:color w:val="000000"/>
          <w:sz w:val="29"/>
          <w:szCs w:val="29"/>
        </w:rPr>
        <w:t> </w:t>
      </w:r>
    </w:p>
    <w:p w14:paraId="3D5B9F42" w14:textId="77777777" w:rsidR="006E13E6" w:rsidRPr="006E13E6" w:rsidRDefault="006E13E6" w:rsidP="006E13E6">
      <w:pPr>
        <w:pStyle w:val="in"/>
        <w:shd w:val="clear" w:color="auto" w:fill="FFFFFF"/>
        <w:spacing w:before="48" w:beforeAutospacing="0" w:after="120" w:afterAutospacing="0" w:line="288" w:lineRule="atLeast"/>
        <w:ind w:firstLine="480"/>
        <w:rPr>
          <w:color w:val="000000"/>
          <w:sz w:val="29"/>
          <w:szCs w:val="29"/>
          <w:highlight w:val="yellow"/>
        </w:rPr>
      </w:pPr>
      <w:r w:rsidRPr="006E13E6">
        <w:rPr>
          <w:color w:val="000000"/>
          <w:sz w:val="29"/>
          <w:szCs w:val="29"/>
          <w:highlight w:val="yellow"/>
        </w:rPr>
        <w:t>(a) A vehicle or combination of vehicles operating under this section:</w:t>
      </w:r>
    </w:p>
    <w:p w14:paraId="7EF96E88" w14:textId="77777777" w:rsidR="006E13E6" w:rsidRPr="006E13E6" w:rsidRDefault="006E13E6" w:rsidP="006E13E6">
      <w:pPr>
        <w:pStyle w:val="in"/>
        <w:shd w:val="clear" w:color="auto" w:fill="FFFFFF"/>
        <w:spacing w:before="48" w:beforeAutospacing="0" w:after="120" w:afterAutospacing="0" w:line="288" w:lineRule="atLeast"/>
        <w:ind w:firstLine="480"/>
        <w:rPr>
          <w:color w:val="000000"/>
          <w:sz w:val="29"/>
          <w:szCs w:val="29"/>
          <w:highlight w:val="yellow"/>
        </w:rPr>
      </w:pPr>
      <w:r w:rsidRPr="006E13E6">
        <w:rPr>
          <w:color w:val="000000"/>
          <w:sz w:val="29"/>
          <w:szCs w:val="29"/>
          <w:highlight w:val="yellow"/>
        </w:rPr>
        <w:t>(1) is subject to axle weight limitations under section </w:t>
      </w:r>
      <w:hyperlink r:id="rId22" w:anchor="stat.169.824.1" w:history="1">
        <w:r w:rsidRPr="006E13E6">
          <w:rPr>
            <w:rStyle w:val="Hyperlink"/>
            <w:color w:val="2B6DAD"/>
            <w:sz w:val="29"/>
            <w:szCs w:val="29"/>
            <w:highlight w:val="yellow"/>
          </w:rPr>
          <w:t>169.824, subdivision 1</w:t>
        </w:r>
      </w:hyperlink>
      <w:r w:rsidRPr="006E13E6">
        <w:rPr>
          <w:color w:val="000000"/>
          <w:sz w:val="29"/>
          <w:szCs w:val="29"/>
          <w:highlight w:val="yellow"/>
        </w:rPr>
        <w:t>;</w:t>
      </w:r>
    </w:p>
    <w:p w14:paraId="42124327" w14:textId="77777777" w:rsidR="006E13E6" w:rsidRPr="006E13E6" w:rsidRDefault="006E13E6" w:rsidP="006E13E6">
      <w:pPr>
        <w:pStyle w:val="in"/>
        <w:shd w:val="clear" w:color="auto" w:fill="FFFFFF"/>
        <w:spacing w:before="48" w:beforeAutospacing="0" w:after="120" w:afterAutospacing="0" w:line="288" w:lineRule="atLeast"/>
        <w:ind w:firstLine="480"/>
        <w:rPr>
          <w:color w:val="000000"/>
          <w:sz w:val="29"/>
          <w:szCs w:val="29"/>
          <w:highlight w:val="yellow"/>
        </w:rPr>
      </w:pPr>
      <w:r w:rsidRPr="006E13E6">
        <w:rPr>
          <w:color w:val="000000"/>
          <w:sz w:val="29"/>
          <w:szCs w:val="29"/>
          <w:highlight w:val="yellow"/>
        </w:rPr>
        <w:t>(2) is subject to seasonal load restrictions under section </w:t>
      </w:r>
      <w:hyperlink r:id="rId23" w:history="1">
        <w:r w:rsidRPr="006E13E6">
          <w:rPr>
            <w:rStyle w:val="Hyperlink"/>
            <w:color w:val="2B6DAD"/>
            <w:sz w:val="29"/>
            <w:szCs w:val="29"/>
            <w:highlight w:val="yellow"/>
          </w:rPr>
          <w:t>169.87</w:t>
        </w:r>
      </w:hyperlink>
      <w:r w:rsidRPr="006E13E6">
        <w:rPr>
          <w:color w:val="000000"/>
          <w:sz w:val="29"/>
          <w:szCs w:val="29"/>
          <w:highlight w:val="yellow"/>
        </w:rPr>
        <w:t>;</w:t>
      </w:r>
    </w:p>
    <w:p w14:paraId="51A710CC"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sidRPr="006E13E6">
        <w:rPr>
          <w:color w:val="000000"/>
          <w:sz w:val="29"/>
          <w:szCs w:val="29"/>
          <w:highlight w:val="yellow"/>
        </w:rPr>
        <w:t>(3) is subject to bridge load limits posted under section </w:t>
      </w:r>
      <w:hyperlink r:id="rId24" w:history="1">
        <w:r w:rsidRPr="006E13E6">
          <w:rPr>
            <w:rStyle w:val="Hyperlink"/>
            <w:color w:val="2B6DAD"/>
            <w:sz w:val="29"/>
            <w:szCs w:val="29"/>
            <w:highlight w:val="yellow"/>
          </w:rPr>
          <w:t>169.84</w:t>
        </w:r>
      </w:hyperlink>
      <w:r w:rsidRPr="006E13E6">
        <w:rPr>
          <w:color w:val="000000"/>
          <w:sz w:val="29"/>
          <w:szCs w:val="29"/>
          <w:highlight w:val="yellow"/>
        </w:rPr>
        <w:t>;</w:t>
      </w:r>
    </w:p>
    <w:p w14:paraId="113C55F4"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(4) may only be operated on paved streets and highways other than interstate highways;</w:t>
      </w:r>
    </w:p>
    <w:p w14:paraId="52BA1E13"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(5) may not be operated with loads that exceed the manufacturer's gross vehicle weight rating as affixed to the vehicle, or other certification of gross vehicle weight rating complying with Code of Federal Regulations, title 49, sections 567.4 to 567.7;</w:t>
      </w:r>
    </w:p>
    <w:p w14:paraId="49208DBA"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(6) must be issued a permit from each road authority having jurisdiction over a road on which the vehicle is operated, if required;</w:t>
      </w:r>
    </w:p>
    <w:p w14:paraId="00E9F5B6"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(7) must comply with the requirements of section </w:t>
      </w:r>
      <w:hyperlink r:id="rId25" w:anchor="stat.169.851.4" w:history="1">
        <w:r>
          <w:rPr>
            <w:rStyle w:val="Hyperlink"/>
            <w:color w:val="2B6DAD"/>
            <w:sz w:val="29"/>
            <w:szCs w:val="29"/>
          </w:rPr>
          <w:t>169.851, subdivision 4</w:t>
        </w:r>
      </w:hyperlink>
      <w:r>
        <w:rPr>
          <w:color w:val="000000"/>
          <w:sz w:val="29"/>
          <w:szCs w:val="29"/>
        </w:rPr>
        <w:t>; and</w:t>
      </w:r>
    </w:p>
    <w:p w14:paraId="2A83F221" w14:textId="77777777" w:rsidR="006E13E6" w:rsidRDefault="006E13E6" w:rsidP="006E13E6">
      <w:pPr>
        <w:pStyle w:val="in"/>
        <w:shd w:val="clear" w:color="auto" w:fill="FFFFFF"/>
        <w:spacing w:before="48" w:beforeAutospacing="0" w:after="120" w:afterAutospacing="0" w:line="288" w:lineRule="atLeast"/>
        <w:ind w:firstLine="480"/>
        <w:rPr>
          <w:color w:val="000000"/>
          <w:sz w:val="29"/>
          <w:szCs w:val="29"/>
        </w:rPr>
      </w:pPr>
      <w:r>
        <w:rPr>
          <w:color w:val="000000"/>
          <w:sz w:val="29"/>
          <w:szCs w:val="29"/>
        </w:rPr>
        <w:t>(8) must have brakes on all wheels.</w:t>
      </w:r>
    </w:p>
    <w:p w14:paraId="22EC9982" w14:textId="6489EA7F" w:rsidR="006E13E6" w:rsidRDefault="00490126" w:rsidP="006E13E6">
      <w:pPr>
        <w:pStyle w:val="in"/>
        <w:shd w:val="clear" w:color="auto" w:fill="FFFFFF"/>
        <w:spacing w:before="48" w:beforeAutospacing="0" w:after="120" w:afterAutospacing="0" w:line="288" w:lineRule="atLeast"/>
        <w:ind w:firstLine="480"/>
        <w:rPr>
          <w:color w:val="000000"/>
          <w:sz w:val="29"/>
          <w:szCs w:val="29"/>
        </w:rPr>
      </w:pPr>
      <w:r w:rsidRPr="00490126">
        <w:rPr>
          <w:noProof/>
          <w:color w:val="000000"/>
          <w:sz w:val="29"/>
          <w:szCs w:val="29"/>
        </w:rPr>
        <mc:AlternateContent>
          <mc:Choice Requires="wps">
            <w:drawing>
              <wp:anchor distT="45720" distB="45720" distL="114300" distR="114300" simplePos="0" relativeHeight="251661312" behindDoc="0" locked="0" layoutInCell="1" allowOverlap="1" wp14:anchorId="19F5EFAB" wp14:editId="0AF82B52">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21EAECA" w14:textId="260AF032" w:rsidR="00490126" w:rsidRDefault="004901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9F5EFAB"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621EAECA" w14:textId="260AF032" w:rsidR="00490126" w:rsidRDefault="00490126"/>
                  </w:txbxContent>
                </v:textbox>
                <w10:wrap type="square"/>
              </v:shape>
            </w:pict>
          </mc:Fallback>
        </mc:AlternateContent>
      </w:r>
      <w:r w:rsidR="006E13E6">
        <w:rPr>
          <w:color w:val="000000"/>
          <w:sz w:val="29"/>
          <w:szCs w:val="29"/>
        </w:rPr>
        <w:t>(b) The percentage allowances for exceeding gross weights if transporting unfinished forest products under section </w:t>
      </w:r>
      <w:hyperlink r:id="rId26" w:anchor="stat.168.013.3" w:history="1">
        <w:r w:rsidR="006E13E6">
          <w:rPr>
            <w:rStyle w:val="Hyperlink"/>
            <w:color w:val="2B6DAD"/>
            <w:sz w:val="29"/>
            <w:szCs w:val="29"/>
          </w:rPr>
          <w:t>168.013, subdivision 3</w:t>
        </w:r>
      </w:hyperlink>
      <w:r w:rsidR="006E13E6">
        <w:rPr>
          <w:color w:val="000000"/>
          <w:sz w:val="29"/>
          <w:szCs w:val="29"/>
        </w:rPr>
        <w:t>, paragraph (b), or for the first haul of unprocessed or raw farm products or unfinished forest products under section </w:t>
      </w:r>
      <w:hyperlink r:id="rId27" w:anchor="stat.168.013.3" w:history="1">
        <w:r w:rsidR="006E13E6">
          <w:rPr>
            <w:rStyle w:val="Hyperlink"/>
            <w:color w:val="2B6DAD"/>
            <w:sz w:val="29"/>
            <w:szCs w:val="29"/>
          </w:rPr>
          <w:t>168.013, subdivision 3</w:t>
        </w:r>
      </w:hyperlink>
      <w:r w:rsidR="006E13E6">
        <w:rPr>
          <w:color w:val="000000"/>
          <w:sz w:val="29"/>
          <w:szCs w:val="29"/>
        </w:rPr>
        <w:t>, paragraph (d), clause (3), do not apply to a vehicle or combination of vehicles operated under this section.</w:t>
      </w:r>
    </w:p>
    <w:p w14:paraId="69C9D412" w14:textId="5D44A462"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r>
        <w:rPr>
          <w:color w:val="000000"/>
          <w:sz w:val="29"/>
          <w:szCs w:val="29"/>
        </w:rPr>
        <w:lastRenderedPageBreak/>
        <w:t xml:space="preserve">(c) Notwithstanding paragraph (a), clause (4), a vehicle or combination of vehicles hauling fluid milk under a permit issued by the commissioner of transportation may also operate on interstate highways as provided under United States Code, title 23, section </w:t>
      </w:r>
      <w:commentRangeStart w:id="0"/>
      <w:r>
        <w:rPr>
          <w:color w:val="000000"/>
          <w:sz w:val="29"/>
          <w:szCs w:val="29"/>
        </w:rPr>
        <w:t>127</w:t>
      </w:r>
      <w:commentRangeEnd w:id="0"/>
      <w:r w:rsidR="00490126">
        <w:rPr>
          <w:rStyle w:val="CommentReference"/>
          <w:rFonts w:asciiTheme="minorHAnsi" w:eastAsiaTheme="minorHAnsi" w:hAnsiTheme="minorHAnsi" w:cstheme="minorBidi"/>
        </w:rPr>
        <w:commentReference w:id="0"/>
      </w:r>
      <w:r>
        <w:rPr>
          <w:color w:val="000000"/>
          <w:sz w:val="29"/>
          <w:szCs w:val="29"/>
        </w:rPr>
        <w:t>.</w:t>
      </w:r>
    </w:p>
    <w:p w14:paraId="10806B5B" w14:textId="5188DDCE" w:rsidR="00490126" w:rsidRDefault="00490126" w:rsidP="00490126">
      <w:pPr>
        <w:pStyle w:val="NormalWeb"/>
        <w:shd w:val="clear" w:color="auto" w:fill="FFFFFF"/>
        <w:spacing w:before="48" w:beforeAutospacing="0" w:after="120" w:afterAutospacing="0" w:line="288" w:lineRule="atLeast"/>
        <w:rPr>
          <w:color w:val="000000"/>
          <w:sz w:val="29"/>
          <w:szCs w:val="29"/>
        </w:rPr>
      </w:pPr>
    </w:p>
    <w:p w14:paraId="0AB1FDA2" w14:textId="68FCF168" w:rsidR="00490126" w:rsidRPr="00490126" w:rsidRDefault="00490126" w:rsidP="00490126">
      <w:r>
        <w:rPr>
          <w:noProof/>
        </w:rPr>
        <w:drawing>
          <wp:inline distT="0" distB="0" distL="0" distR="0" wp14:anchorId="1ED5C622" wp14:editId="6B48B7F7">
            <wp:extent cx="5943600" cy="2885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885440"/>
                    </a:xfrm>
                    <a:prstGeom prst="rect">
                      <a:avLst/>
                    </a:prstGeom>
                  </pic:spPr>
                </pic:pic>
              </a:graphicData>
            </a:graphic>
          </wp:inline>
        </w:drawing>
      </w:r>
    </w:p>
    <w:p w14:paraId="359C77B6" w14:textId="16BA9522" w:rsidR="006E13E6" w:rsidRDefault="006E13E6" w:rsidP="006E13E6">
      <w:pPr>
        <w:pStyle w:val="NormalWeb"/>
        <w:shd w:val="clear" w:color="auto" w:fill="FFFFFF"/>
        <w:spacing w:before="48" w:beforeAutospacing="0" w:after="120" w:afterAutospacing="0" w:line="288" w:lineRule="atLeast"/>
        <w:ind w:firstLine="480"/>
        <w:rPr>
          <w:color w:val="000000"/>
          <w:sz w:val="29"/>
          <w:szCs w:val="29"/>
        </w:rPr>
      </w:pPr>
    </w:p>
    <w:p w14:paraId="1A97B96E" w14:textId="16928683" w:rsidR="00490126" w:rsidRPr="00490126" w:rsidRDefault="00490126" w:rsidP="00490126">
      <w:pPr>
        <w:pStyle w:val="Heading2"/>
        <w:spacing w:before="168" w:beforeAutospacing="0" w:after="42" w:afterAutospacing="0"/>
        <w:ind w:right="450"/>
        <w:rPr>
          <w:rFonts w:ascii="Open Sans" w:hAnsi="Open Sans" w:cs="Open Sans"/>
          <w:color w:val="343333"/>
          <w:sz w:val="24"/>
          <w:szCs w:val="24"/>
        </w:rPr>
      </w:pPr>
      <w:r w:rsidRPr="00490126">
        <w:rPr>
          <w:rFonts w:ascii="Open Sans" w:hAnsi="Open Sans" w:cs="Open Sans"/>
          <w:color w:val="343333"/>
          <w:sz w:val="24"/>
          <w:szCs w:val="24"/>
        </w:rPr>
        <w:t>Creating a new account</w:t>
      </w:r>
    </w:p>
    <w:p w14:paraId="7B11E09D" w14:textId="695F6394" w:rsidR="006E13E6" w:rsidRDefault="00490126" w:rsidP="00490126">
      <w:pPr>
        <w:pStyle w:val="NormalWeb"/>
        <w:shd w:val="clear" w:color="auto" w:fill="FFFFFF"/>
        <w:spacing w:before="48" w:beforeAutospacing="0" w:after="120" w:afterAutospacing="0" w:line="288" w:lineRule="atLeast"/>
        <w:rPr>
          <w:color w:val="000000"/>
          <w:sz w:val="29"/>
          <w:szCs w:val="29"/>
        </w:rPr>
      </w:pPr>
      <w:hyperlink r:id="rId33" w:history="1">
        <w:r w:rsidRPr="00DD7025">
          <w:rPr>
            <w:rStyle w:val="Hyperlink"/>
            <w:sz w:val="29"/>
            <w:szCs w:val="29"/>
          </w:rPr>
          <w:t>https://youtu.be/gf24gIeRitQ?si=</w:t>
        </w:r>
        <w:r w:rsidRPr="00DD7025">
          <w:rPr>
            <w:rStyle w:val="Hyperlink"/>
            <w:sz w:val="29"/>
            <w:szCs w:val="29"/>
          </w:rPr>
          <w:t>d</w:t>
        </w:r>
        <w:r w:rsidRPr="00DD7025">
          <w:rPr>
            <w:rStyle w:val="Hyperlink"/>
            <w:sz w:val="29"/>
            <w:szCs w:val="29"/>
          </w:rPr>
          <w:t>PuFRDJz7ARycpvV</w:t>
        </w:r>
      </w:hyperlink>
    </w:p>
    <w:p w14:paraId="793219F5" w14:textId="14EFE357" w:rsidR="00490126" w:rsidRPr="00490126" w:rsidRDefault="00490126" w:rsidP="00490126">
      <w:pPr>
        <w:pStyle w:val="Heading2"/>
        <w:spacing w:before="168" w:beforeAutospacing="0" w:after="42" w:afterAutospacing="0"/>
        <w:ind w:right="450"/>
        <w:rPr>
          <w:rFonts w:ascii="Open Sans" w:hAnsi="Open Sans" w:cs="Open Sans"/>
          <w:color w:val="343333"/>
          <w:sz w:val="24"/>
          <w:szCs w:val="24"/>
        </w:rPr>
      </w:pPr>
      <w:r>
        <w:rPr>
          <w:rFonts w:ascii="Open Sans" w:hAnsi="Open Sans" w:cs="Open Sans"/>
          <w:color w:val="343333"/>
          <w:sz w:val="24"/>
          <w:szCs w:val="24"/>
        </w:rPr>
        <w:t>P</w:t>
      </w:r>
      <w:r w:rsidRPr="00490126">
        <w:rPr>
          <w:rFonts w:ascii="Open Sans" w:hAnsi="Open Sans" w:cs="Open Sans"/>
          <w:color w:val="343333"/>
          <w:sz w:val="24"/>
          <w:szCs w:val="24"/>
        </w:rPr>
        <w:t>ermits</w:t>
      </w:r>
      <w:r w:rsidRPr="00490126">
        <w:rPr>
          <w:rFonts w:ascii="Open Sans" w:hAnsi="Open Sans" w:cs="Open Sans"/>
          <w:color w:val="343333"/>
          <w:sz w:val="24"/>
          <w:szCs w:val="24"/>
        </w:rPr>
        <w:t xml:space="preserve"> </w:t>
      </w:r>
      <w:r w:rsidRPr="00490126">
        <w:rPr>
          <w:rFonts w:ascii="Open Sans" w:hAnsi="Open Sans" w:cs="Open Sans"/>
          <w:color w:val="343333"/>
          <w:sz w:val="24"/>
          <w:szCs w:val="24"/>
        </w:rPr>
        <w:t>Ordering single trip, annual, and seasonal</w:t>
      </w:r>
    </w:p>
    <w:p w14:paraId="0291F611" w14:textId="7B1416C1" w:rsidR="00490126" w:rsidRDefault="00490126" w:rsidP="00490126">
      <w:pPr>
        <w:pStyle w:val="NormalWeb"/>
        <w:shd w:val="clear" w:color="auto" w:fill="FFFFFF"/>
        <w:spacing w:before="48" w:beforeAutospacing="0" w:after="120" w:afterAutospacing="0" w:line="288" w:lineRule="atLeast"/>
        <w:rPr>
          <w:color w:val="000000"/>
          <w:sz w:val="29"/>
          <w:szCs w:val="29"/>
        </w:rPr>
      </w:pPr>
      <w:hyperlink r:id="rId34" w:history="1">
        <w:r w:rsidRPr="00DD7025">
          <w:rPr>
            <w:rStyle w:val="Hyperlink"/>
            <w:sz w:val="29"/>
            <w:szCs w:val="29"/>
          </w:rPr>
          <w:t>https://youtu.be/1YM32rboCBI</w:t>
        </w:r>
      </w:hyperlink>
    </w:p>
    <w:p w14:paraId="491A12E4" w14:textId="77777777" w:rsidR="00490126" w:rsidRDefault="00490126" w:rsidP="006E13E6">
      <w:pPr>
        <w:pStyle w:val="NormalWeb"/>
        <w:shd w:val="clear" w:color="auto" w:fill="FFFFFF"/>
        <w:spacing w:before="48" w:beforeAutospacing="0" w:after="120" w:afterAutospacing="0" w:line="288" w:lineRule="atLeast"/>
        <w:ind w:firstLine="480"/>
        <w:rPr>
          <w:color w:val="000000"/>
          <w:sz w:val="29"/>
          <w:szCs w:val="29"/>
        </w:rPr>
      </w:pPr>
    </w:p>
    <w:p w14:paraId="3F95AB35" w14:textId="77777777" w:rsidR="00490126" w:rsidRDefault="00490126" w:rsidP="006E13E6">
      <w:pPr>
        <w:pStyle w:val="NormalWeb"/>
        <w:shd w:val="clear" w:color="auto" w:fill="FFFFFF"/>
        <w:spacing w:before="48" w:beforeAutospacing="0" w:after="120" w:afterAutospacing="0" w:line="288" w:lineRule="atLeast"/>
        <w:ind w:firstLine="480"/>
        <w:rPr>
          <w:color w:val="000000"/>
          <w:sz w:val="29"/>
          <w:szCs w:val="29"/>
        </w:rPr>
      </w:pPr>
    </w:p>
    <w:p w14:paraId="1AA9BDDE" w14:textId="03FD6C50" w:rsidR="006E13E6" w:rsidRDefault="0017075B">
      <w:r>
        <w:t>Lt Mike Engum</w:t>
      </w:r>
    </w:p>
    <w:p w14:paraId="2C30FDEC" w14:textId="401116D4" w:rsidR="0017075B" w:rsidRDefault="0017075B">
      <w:hyperlink r:id="rId35" w:history="1">
        <w:r w:rsidRPr="008C52D0">
          <w:rPr>
            <w:rStyle w:val="Hyperlink"/>
          </w:rPr>
          <w:t>Mike.Engum@state.mn.us</w:t>
        </w:r>
      </w:hyperlink>
    </w:p>
    <w:p w14:paraId="002C62B3" w14:textId="04382E51" w:rsidR="0017075B" w:rsidRDefault="0017075B">
      <w:r>
        <w:t>218-398-3800</w:t>
      </w:r>
    </w:p>
    <w:p w14:paraId="7A5592F8" w14:textId="3FF4211D" w:rsidR="0017075B" w:rsidRDefault="0017075B"/>
    <w:p w14:paraId="13A73A77" w14:textId="117AB469" w:rsidR="0017075B" w:rsidRDefault="0017075B"/>
    <w:p w14:paraId="2B67D712" w14:textId="77777777" w:rsidR="0017075B" w:rsidRPr="005E0831" w:rsidRDefault="0017075B"/>
    <w:sectPr w:rsidR="0017075B" w:rsidRPr="005E08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ke Engum" w:date="2025-07-15T10:20:00Z" w:initials="EM(">
    <w:p w14:paraId="5A90A4B5" w14:textId="7A0BA6FE" w:rsidR="00490126" w:rsidRDefault="0049012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90A4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20A9E0" w16cex:dateUtc="2025-07-15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90A4B5" w16cid:durableId="2C20A9E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Roboto">
    <w:panose1 w:val="02000000000000000000"/>
    <w:charset w:val="00"/>
    <w:family w:val="auto"/>
    <w:pitch w:val="variable"/>
    <w:sig w:usb0="E00002EF" w:usb1="5000205B" w:usb2="00000020" w:usb3="00000000" w:csb0="0000019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ke Engum">
    <w15:presenceInfo w15:providerId="AD" w15:userId="S::Mike.Engum@state.mn.us::1920ca38-1358-4332-baa8-3e21b1e2a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31"/>
    <w:rsid w:val="0017075B"/>
    <w:rsid w:val="00490126"/>
    <w:rsid w:val="005E0831"/>
    <w:rsid w:val="006E13E6"/>
    <w:rsid w:val="008C24AD"/>
    <w:rsid w:val="00E36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4D0BE"/>
  <w15:chartTrackingRefBased/>
  <w15:docId w15:val="{16C9864E-BF79-4885-A022-8D9A517B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13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E13E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831"/>
    <w:rPr>
      <w:color w:val="0563C1" w:themeColor="hyperlink"/>
      <w:u w:val="single"/>
    </w:rPr>
  </w:style>
  <w:style w:type="character" w:styleId="UnresolvedMention">
    <w:name w:val="Unresolved Mention"/>
    <w:basedOn w:val="DefaultParagraphFont"/>
    <w:uiPriority w:val="99"/>
    <w:semiHidden/>
    <w:unhideWhenUsed/>
    <w:rsid w:val="005E0831"/>
    <w:rPr>
      <w:color w:val="605E5C"/>
      <w:shd w:val="clear" w:color="auto" w:fill="E1DFDD"/>
    </w:rPr>
  </w:style>
  <w:style w:type="character" w:styleId="FollowedHyperlink">
    <w:name w:val="FollowedHyperlink"/>
    <w:basedOn w:val="DefaultParagraphFont"/>
    <w:uiPriority w:val="99"/>
    <w:semiHidden/>
    <w:unhideWhenUsed/>
    <w:rsid w:val="005E0831"/>
    <w:rPr>
      <w:color w:val="954F72" w:themeColor="followedHyperlink"/>
      <w:u w:val="single"/>
    </w:rPr>
  </w:style>
  <w:style w:type="character" w:customStyle="1" w:styleId="Heading2Char">
    <w:name w:val="Heading 2 Char"/>
    <w:basedOn w:val="DefaultParagraphFont"/>
    <w:link w:val="Heading2"/>
    <w:uiPriority w:val="9"/>
    <w:rsid w:val="006E13E6"/>
    <w:rPr>
      <w:rFonts w:ascii="Times New Roman" w:eastAsia="Times New Roman" w:hAnsi="Times New Roman" w:cs="Times New Roman"/>
      <w:b/>
      <w:bCs/>
      <w:sz w:val="36"/>
      <w:szCs w:val="36"/>
    </w:rPr>
  </w:style>
  <w:style w:type="character" w:customStyle="1" w:styleId="headnote">
    <w:name w:val="headnote"/>
    <w:basedOn w:val="DefaultParagraphFont"/>
    <w:rsid w:val="006E13E6"/>
  </w:style>
  <w:style w:type="paragraph" w:customStyle="1" w:styleId="in">
    <w:name w:val="in"/>
    <w:basedOn w:val="Normal"/>
    <w:rsid w:val="006E13E6"/>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E13E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6E13E6"/>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90126"/>
    <w:rPr>
      <w:sz w:val="16"/>
      <w:szCs w:val="16"/>
    </w:rPr>
  </w:style>
  <w:style w:type="paragraph" w:styleId="CommentText">
    <w:name w:val="annotation text"/>
    <w:basedOn w:val="Normal"/>
    <w:link w:val="CommentTextChar"/>
    <w:uiPriority w:val="99"/>
    <w:semiHidden/>
    <w:unhideWhenUsed/>
    <w:rsid w:val="00490126"/>
    <w:rPr>
      <w:sz w:val="20"/>
      <w:szCs w:val="20"/>
    </w:rPr>
  </w:style>
  <w:style w:type="character" w:customStyle="1" w:styleId="CommentTextChar">
    <w:name w:val="Comment Text Char"/>
    <w:basedOn w:val="DefaultParagraphFont"/>
    <w:link w:val="CommentText"/>
    <w:uiPriority w:val="99"/>
    <w:semiHidden/>
    <w:rsid w:val="00490126"/>
    <w:rPr>
      <w:sz w:val="20"/>
      <w:szCs w:val="20"/>
    </w:rPr>
  </w:style>
  <w:style w:type="paragraph" w:styleId="CommentSubject">
    <w:name w:val="annotation subject"/>
    <w:basedOn w:val="CommentText"/>
    <w:next w:val="CommentText"/>
    <w:link w:val="CommentSubjectChar"/>
    <w:uiPriority w:val="99"/>
    <w:semiHidden/>
    <w:unhideWhenUsed/>
    <w:rsid w:val="00490126"/>
    <w:rPr>
      <w:b/>
      <w:bCs/>
    </w:rPr>
  </w:style>
  <w:style w:type="character" w:customStyle="1" w:styleId="CommentSubjectChar">
    <w:name w:val="Comment Subject Char"/>
    <w:basedOn w:val="CommentTextChar"/>
    <w:link w:val="CommentSubject"/>
    <w:uiPriority w:val="99"/>
    <w:semiHidden/>
    <w:rsid w:val="004901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2200">
      <w:bodyDiv w:val="1"/>
      <w:marLeft w:val="0"/>
      <w:marRight w:val="0"/>
      <w:marTop w:val="0"/>
      <w:marBottom w:val="0"/>
      <w:divBdr>
        <w:top w:val="none" w:sz="0" w:space="0" w:color="auto"/>
        <w:left w:val="none" w:sz="0" w:space="0" w:color="auto"/>
        <w:bottom w:val="none" w:sz="0" w:space="0" w:color="auto"/>
        <w:right w:val="none" w:sz="0" w:space="0" w:color="auto"/>
      </w:divBdr>
    </w:div>
    <w:div w:id="682173016">
      <w:bodyDiv w:val="1"/>
      <w:marLeft w:val="0"/>
      <w:marRight w:val="0"/>
      <w:marTop w:val="0"/>
      <w:marBottom w:val="0"/>
      <w:divBdr>
        <w:top w:val="none" w:sz="0" w:space="0" w:color="auto"/>
        <w:left w:val="none" w:sz="0" w:space="0" w:color="auto"/>
        <w:bottom w:val="none" w:sz="0" w:space="0" w:color="auto"/>
        <w:right w:val="none" w:sz="0" w:space="0" w:color="auto"/>
      </w:divBdr>
    </w:div>
    <w:div w:id="764154269">
      <w:bodyDiv w:val="1"/>
      <w:marLeft w:val="0"/>
      <w:marRight w:val="0"/>
      <w:marTop w:val="0"/>
      <w:marBottom w:val="0"/>
      <w:divBdr>
        <w:top w:val="none" w:sz="0" w:space="0" w:color="auto"/>
        <w:left w:val="none" w:sz="0" w:space="0" w:color="auto"/>
        <w:bottom w:val="none" w:sz="0" w:space="0" w:color="auto"/>
        <w:right w:val="none" w:sz="0" w:space="0" w:color="auto"/>
      </w:divBdr>
    </w:div>
    <w:div w:id="1939674220">
      <w:bodyDiv w:val="1"/>
      <w:marLeft w:val="0"/>
      <w:marRight w:val="0"/>
      <w:marTop w:val="0"/>
      <w:marBottom w:val="0"/>
      <w:divBdr>
        <w:top w:val="none" w:sz="0" w:space="0" w:color="auto"/>
        <w:left w:val="none" w:sz="0" w:space="0" w:color="auto"/>
        <w:bottom w:val="none" w:sz="0" w:space="0" w:color="auto"/>
        <w:right w:val="none" w:sz="0" w:space="0" w:color="auto"/>
      </w:divBdr>
      <w:divsChild>
        <w:div w:id="1122916754">
          <w:marLeft w:val="0"/>
          <w:marRight w:val="0"/>
          <w:marTop w:val="0"/>
          <w:marBottom w:val="0"/>
          <w:divBdr>
            <w:top w:val="single" w:sz="6" w:space="0" w:color="FFEEBA"/>
            <w:left w:val="single" w:sz="6" w:space="0" w:color="FFEEBA"/>
            <w:bottom w:val="single" w:sz="6" w:space="0" w:color="FFEEBA"/>
            <w:right w:val="single" w:sz="6" w:space="0" w:color="FFEEBA"/>
          </w:divBdr>
        </w:div>
        <w:div w:id="321399340">
          <w:marLeft w:val="0"/>
          <w:marRight w:val="0"/>
          <w:marTop w:val="240"/>
          <w:marBottom w:val="0"/>
          <w:divBdr>
            <w:top w:val="none" w:sz="0" w:space="0" w:color="auto"/>
            <w:left w:val="none" w:sz="0" w:space="0" w:color="auto"/>
            <w:bottom w:val="none" w:sz="0" w:space="0" w:color="auto"/>
            <w:right w:val="none" w:sz="0" w:space="0" w:color="auto"/>
          </w:divBdr>
          <w:divsChild>
            <w:div w:id="1579055847">
              <w:marLeft w:val="0"/>
              <w:marRight w:val="0"/>
              <w:marTop w:val="240"/>
              <w:marBottom w:val="0"/>
              <w:divBdr>
                <w:top w:val="none" w:sz="0" w:space="0" w:color="auto"/>
                <w:left w:val="none" w:sz="0" w:space="0" w:color="auto"/>
                <w:bottom w:val="none" w:sz="0" w:space="0" w:color="auto"/>
                <w:right w:val="none" w:sz="0" w:space="0" w:color="auto"/>
              </w:divBdr>
            </w:div>
            <w:div w:id="516189868">
              <w:marLeft w:val="0"/>
              <w:marRight w:val="0"/>
              <w:marTop w:val="240"/>
              <w:marBottom w:val="0"/>
              <w:divBdr>
                <w:top w:val="none" w:sz="0" w:space="0" w:color="auto"/>
                <w:left w:val="none" w:sz="0" w:space="0" w:color="auto"/>
                <w:bottom w:val="none" w:sz="0" w:space="0" w:color="auto"/>
                <w:right w:val="none" w:sz="0" w:space="0" w:color="auto"/>
              </w:divBdr>
            </w:div>
            <w:div w:id="1545940869">
              <w:marLeft w:val="0"/>
              <w:marRight w:val="0"/>
              <w:marTop w:val="240"/>
              <w:marBottom w:val="0"/>
              <w:divBdr>
                <w:top w:val="none" w:sz="0" w:space="0" w:color="auto"/>
                <w:left w:val="none" w:sz="0" w:space="0" w:color="auto"/>
                <w:bottom w:val="none" w:sz="0" w:space="0" w:color="auto"/>
                <w:right w:val="none" w:sz="0" w:space="0" w:color="auto"/>
              </w:divBdr>
            </w:div>
            <w:div w:id="641929714">
              <w:marLeft w:val="0"/>
              <w:marRight w:val="0"/>
              <w:marTop w:val="240"/>
              <w:marBottom w:val="0"/>
              <w:divBdr>
                <w:top w:val="none" w:sz="0" w:space="0" w:color="auto"/>
                <w:left w:val="none" w:sz="0" w:space="0" w:color="auto"/>
                <w:bottom w:val="none" w:sz="0" w:space="0" w:color="auto"/>
                <w:right w:val="none" w:sz="0" w:space="0" w:color="auto"/>
              </w:divBdr>
            </w:div>
            <w:div w:id="19730502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visor.mn.gov/statutes/cite/169.86" TargetMode="External"/><Relationship Id="rId18" Type="http://schemas.openxmlformats.org/officeDocument/2006/relationships/hyperlink" Target="https://www.revisor.mn.gov/statutes/cite/169.826" TargetMode="External"/><Relationship Id="rId26" Type="http://schemas.openxmlformats.org/officeDocument/2006/relationships/hyperlink" Target="https://www.revisor.mn.gov/statutes/cite/168.013" TargetMode="External"/><Relationship Id="rId21" Type="http://schemas.openxmlformats.org/officeDocument/2006/relationships/hyperlink" Target="https://www.revisor.mn.gov/statutes/cite/169.86" TargetMode="External"/><Relationship Id="rId34" Type="http://schemas.openxmlformats.org/officeDocument/2006/relationships/hyperlink" Target="https://youtu.be/1YM32rboCBI" TargetMode="External"/><Relationship Id="rId7" Type="http://schemas.openxmlformats.org/officeDocument/2006/relationships/image" Target="media/image1.png"/><Relationship Id="rId12" Type="http://schemas.openxmlformats.org/officeDocument/2006/relationships/hyperlink" Target="https://www.revisor.mn.gov/statutes/cite/169.829" TargetMode="External"/><Relationship Id="rId17" Type="http://schemas.openxmlformats.org/officeDocument/2006/relationships/hyperlink" Target="https://www.revisor.mn.gov/statutes/cite/169.86" TargetMode="External"/><Relationship Id="rId25" Type="http://schemas.openxmlformats.org/officeDocument/2006/relationships/hyperlink" Target="https://www.revisor.mn.gov/statutes/cite/169.851" TargetMode="External"/><Relationship Id="rId33" Type="http://schemas.openxmlformats.org/officeDocument/2006/relationships/hyperlink" Target="https://youtu.be/gf24gIeRitQ?si=dPuFRDJz7ARycpvV"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visor.mn.gov/statutes/cite/169.826" TargetMode="External"/><Relationship Id="rId20" Type="http://schemas.openxmlformats.org/officeDocument/2006/relationships/hyperlink" Target="https://www.revisor.mn.gov/statutes/cite/221.031" TargetMode="Externa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hyperlink" Target="https://www.revisor.mn.gov/statutes/cite/169.823" TargetMode="External"/><Relationship Id="rId24" Type="http://schemas.openxmlformats.org/officeDocument/2006/relationships/hyperlink" Target="https://www.revisor.mn.gov/statutes/cite/169.84" TargetMode="External"/><Relationship Id="rId32" Type="http://schemas.openxmlformats.org/officeDocument/2006/relationships/image" Target="media/image6.png"/><Relationship Id="rId37" Type="http://schemas.microsoft.com/office/2011/relationships/people" Target="people.xml"/><Relationship Id="rId5" Type="http://schemas.openxmlformats.org/officeDocument/2006/relationships/hyperlink" Target="https://mn.gotpermits.com" TargetMode="External"/><Relationship Id="rId15" Type="http://schemas.openxmlformats.org/officeDocument/2006/relationships/hyperlink" Target="https://www.revisor.mn.gov/statutes/cite/169.865" TargetMode="External"/><Relationship Id="rId23" Type="http://schemas.openxmlformats.org/officeDocument/2006/relationships/hyperlink" Target="https://www.revisor.mn.gov/statutes/cite/169.87" TargetMode="External"/><Relationship Id="rId28" Type="http://schemas.openxmlformats.org/officeDocument/2006/relationships/comments" Target="comments.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revisor.mn.gov/statutes/cite/221.0314" TargetMode="External"/><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revisor.mn.gov/statutes/cite/169.824" TargetMode="External"/><Relationship Id="rId27" Type="http://schemas.openxmlformats.org/officeDocument/2006/relationships/hyperlink" Target="https://www.revisor.mn.gov/statutes/cite/168.013" TargetMode="External"/><Relationship Id="rId30" Type="http://schemas.microsoft.com/office/2016/09/relationships/commentsIds" Target="commentsIds.xml"/><Relationship Id="rId35" Type="http://schemas.openxmlformats.org/officeDocument/2006/relationships/hyperlink" Target="mailto:Mike.Engum@state.mn.us" TargetMode="External"/><Relationship Id="rId8" Type="http://schemas.openxmlformats.org/officeDocument/2006/relationships/image" Target="media/image2.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7-15T15:25:53.0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45,'9'0,"-1"-2,0 1,1-1,10-4,14-3,22-1,0 3,1 2,0 2,64 6,-99 1,0 1,-1 0,1 2,-1 0,-1 1,0 1,36 22,41 19,-83-45,0 0,0-1,1 0,-1-1,27 2,23-4,108-14,-5 1,-84 12,-44 1,0-2,0-1,0-1,38-10,-51 6,-1 1,1 2,0 0,0 1,0 2,0 1,0 0,42 8,-11-1,0-2,0-2,64-6,98 5,-159 8,-41-6,-1-1,22 1,-34-4,1 0,0 0,0-1,-1 0,1 0,-1 0,1-1,-1 0,1 0,9-5,1-2,-2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E1CBF-BED9-4166-9D05-26FEF9C69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Engum, Mike (DPS)</dc:creator>
  <cp:keywords/>
  <dc:description/>
  <cp:lastModifiedBy>Engum, Mike (DPS)</cp:lastModifiedBy>
  <cp:revision>1</cp:revision>
  <dcterms:created xsi:type="dcterms:W3CDTF">2025-07-15T14:49:00Z</dcterms:created>
  <dcterms:modified xsi:type="dcterms:W3CDTF">2025-07-15T15:38:00Z</dcterms:modified>
</cp:coreProperties>
</file>